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B93A4B" w:rsidP="00030526">
      <w:pPr>
        <w:pStyle w:val="af0"/>
        <w:contextualSpacing/>
        <w:jc w:val="center"/>
        <w:rPr>
          <w:sz w:val="28"/>
          <w:szCs w:val="28"/>
        </w:rPr>
      </w:pPr>
      <w:r w:rsidRPr="00B93A4B">
        <w:rPr>
          <w:sz w:val="28"/>
          <w:szCs w:val="28"/>
          <w:u w:val="single"/>
        </w:rPr>
        <w:t>18.03.2024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B93A4B">
        <w:rPr>
          <w:sz w:val="28"/>
          <w:szCs w:val="28"/>
          <w:u w:val="single"/>
        </w:rPr>
        <w:t>25-ПГл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на кадастровом плане территории,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и иные входящие в состав такого дома объекты недви</w:t>
      </w:r>
      <w:r w:rsidR="00406BB5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2083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Кубинка, Наро</w:t>
      </w:r>
      <w:r w:rsidR="00406BB5">
        <w:rPr>
          <w:rStyle w:val="a9"/>
          <w:b w:val="0"/>
          <w:sz w:val="28"/>
          <w:szCs w:val="28"/>
          <w:shd w:val="clear" w:color="auto" w:fill="FFFFFF"/>
        </w:rPr>
        <w:t>-Фоминское шоссе, 7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>г. Кубинка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 период с 22.03.2024 по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CC06EE" w:rsidRPr="00CC06EE">
        <w:rPr>
          <w:sz w:val="28"/>
          <w:szCs w:val="28"/>
          <w:u w:val="single"/>
        </w:rPr>
        <w:t>18.03.2024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CC06EE" w:rsidRPr="00CC06EE">
        <w:rPr>
          <w:sz w:val="28"/>
          <w:szCs w:val="28"/>
          <w:u w:val="single"/>
        </w:rPr>
        <w:t>25-ПГл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схемы расположен</w:t>
      </w:r>
      <w:bookmarkStart w:id="0" w:name="_GoBack"/>
      <w:bookmarkEnd w:id="0"/>
      <w:r w:rsidR="005473AA">
        <w:rPr>
          <w:rStyle w:val="a9"/>
          <w:b w:val="0"/>
          <w:sz w:val="28"/>
          <w:szCs w:val="28"/>
          <w:shd w:val="clear" w:color="auto" w:fill="FFFFFF"/>
        </w:rPr>
        <w:t>ия земельного участка 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</w:t>
      </w:r>
      <w:r w:rsidR="00406BB5">
        <w:rPr>
          <w:rStyle w:val="a9"/>
          <w:b w:val="0"/>
          <w:sz w:val="28"/>
          <w:szCs w:val="28"/>
          <w:shd w:val="clear" w:color="auto" w:fill="FFFFFF"/>
        </w:rPr>
        <w:t>ижимого имущества, площадью 2083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</w:t>
      </w:r>
      <w:r w:rsidR="00406BB5">
        <w:rPr>
          <w:rStyle w:val="a9"/>
          <w:b w:val="0"/>
          <w:sz w:val="28"/>
          <w:szCs w:val="28"/>
          <w:shd w:val="clear" w:color="auto" w:fill="FFFFFF"/>
        </w:rPr>
        <w:t>Кубинка, Наро-Фоминское шоссе, 7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22.03.2024 по 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альном управлении Кубинка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д.4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B4534">
        <w:rPr>
          <w:color w:val="auto"/>
          <w:sz w:val="28"/>
          <w:szCs w:val="28"/>
        </w:rPr>
        <w:t>19.04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B4534">
        <w:rPr>
          <w:sz w:val="28"/>
          <w:szCs w:val="28"/>
        </w:rPr>
        <w:t>и замечания в срок с 22</w:t>
      </w:r>
      <w:r w:rsidR="00D05049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B4534" w:rsidRDefault="005B4534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5A85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A7238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6BB5"/>
    <w:rsid w:val="00407690"/>
    <w:rsid w:val="004105AB"/>
    <w:rsid w:val="00410743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77531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3A4B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06EE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4B962-A0A2-4BA6-B421-5664FD7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6</cp:revision>
  <cp:lastPrinted>2024-03-13T08:46:00Z</cp:lastPrinted>
  <dcterms:created xsi:type="dcterms:W3CDTF">2024-03-15T08:33:00Z</dcterms:created>
  <dcterms:modified xsi:type="dcterms:W3CDTF">2024-03-18T13:16:00Z</dcterms:modified>
</cp:coreProperties>
</file>