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B39" w:rsidRPr="00D06B39" w:rsidRDefault="00EF1E29" w:rsidP="00D06B39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ind w:left="4536"/>
        <w:jc w:val="right"/>
        <w:outlineLvl w:val="0"/>
      </w:pPr>
      <w:r>
        <w:t>Приложение 1</w:t>
      </w:r>
    </w:p>
    <w:p w:rsidR="00D06B39" w:rsidRPr="00D06B39" w:rsidRDefault="00D06B39" w:rsidP="00D06B39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ind w:left="4536"/>
        <w:jc w:val="right"/>
        <w:outlineLvl w:val="0"/>
      </w:pPr>
      <w:r w:rsidRPr="00D06B39">
        <w:t xml:space="preserve">к постановлению Администрации </w:t>
      </w:r>
    </w:p>
    <w:p w:rsidR="00D06B39" w:rsidRPr="00D06B39" w:rsidRDefault="00D06B39" w:rsidP="00D06B39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ind w:left="4536"/>
        <w:jc w:val="right"/>
        <w:outlineLvl w:val="0"/>
      </w:pPr>
      <w:r w:rsidRPr="00D06B39">
        <w:t>Одинцовского городского округа</w:t>
      </w:r>
    </w:p>
    <w:p w:rsidR="00D06B39" w:rsidRPr="008114C5" w:rsidRDefault="00D06B39" w:rsidP="00D06B39">
      <w:pPr>
        <w:ind w:left="426"/>
        <w:jc w:val="right"/>
      </w:pPr>
      <w:r w:rsidRPr="00D06B39">
        <w:t xml:space="preserve"> </w:t>
      </w:r>
      <w:r w:rsidRPr="008114C5">
        <w:t>Московской области</w:t>
      </w:r>
    </w:p>
    <w:p w:rsidR="00D06B39" w:rsidRPr="008114C5" w:rsidRDefault="00D06B39" w:rsidP="00D06B39">
      <w:pPr>
        <w:pStyle w:val="a3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8114C5">
        <w:rPr>
          <w:rFonts w:ascii="Times New Roman" w:hAnsi="Times New Roman"/>
          <w:sz w:val="24"/>
          <w:szCs w:val="24"/>
        </w:rPr>
        <w:t>от______________№____</w:t>
      </w:r>
    </w:p>
    <w:p w:rsidR="00D06B39" w:rsidRDefault="00D06B39" w:rsidP="00D06B39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630B7" w:rsidRDefault="00F630B7" w:rsidP="00D06B39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A2E49" w:rsidRPr="00A07979" w:rsidRDefault="007A2E49" w:rsidP="007A2E49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A07979">
        <w:rPr>
          <w:rFonts w:ascii="Times New Roman" w:hAnsi="Times New Roman"/>
          <w:b/>
          <w:sz w:val="28"/>
          <w:szCs w:val="28"/>
        </w:rPr>
        <w:t>3. Прогноз развития сферы реализации</w:t>
      </w:r>
    </w:p>
    <w:p w:rsidR="007A2E49" w:rsidRPr="00A07979" w:rsidRDefault="007A2E49" w:rsidP="007A2E49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07979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7A2E49" w:rsidRPr="0014559F" w:rsidRDefault="007A2E49" w:rsidP="007A2E49">
      <w:pPr>
        <w:rPr>
          <w:sz w:val="28"/>
          <w:szCs w:val="28"/>
        </w:rPr>
      </w:pPr>
    </w:p>
    <w:p w:rsidR="007A2E49" w:rsidRPr="00576DF9" w:rsidRDefault="007A2E49" w:rsidP="007A2E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6DF9">
        <w:rPr>
          <w:rFonts w:ascii="Arial" w:hAnsi="Arial" w:cs="Arial"/>
          <w:b/>
          <w:sz w:val="28"/>
          <w:szCs w:val="28"/>
        </w:rPr>
        <w:tab/>
      </w:r>
      <w:r w:rsidRPr="00576DF9">
        <w:rPr>
          <w:sz w:val="28"/>
          <w:szCs w:val="28"/>
        </w:rPr>
        <w:t>В рамках Муниципальной программы планируется переселение граждан из аварийного жилищного фонда путем приобретения в муниципальную собственность благоустроенных жилых помещений за счет средств бюджетов различных уровней. Реализация мероприятий Муниципальной программы позволит значительно улучшить проблему расселения многоквартирных домов, признанных в установленном законодательством Российской Федерации порядке аварийными и подлежащими сносу, в связи с физическим износом в процессе эксплуатации, обеспечит защиту прав граждан на жилище путем переселения из аварийных жилых домов в новые благоустроенные помещения.</w:t>
      </w:r>
    </w:p>
    <w:p w:rsidR="007A2E49" w:rsidRPr="00576DF9" w:rsidRDefault="007A2E49" w:rsidP="007A2E49">
      <w:pPr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>На 01.01.2023 в результате реализации подпрограммы «Обеспечение устойчивого сокращения непригодного для проживания жилищного фонда» Муниципальной программы (далее – Подпрограмма 1) в благоустроенные жилые помещения</w:t>
      </w:r>
      <w:r w:rsidRPr="00576DF9">
        <w:t xml:space="preserve"> </w:t>
      </w:r>
      <w:r w:rsidRPr="00576DF9">
        <w:rPr>
          <w:sz w:val="28"/>
          <w:szCs w:val="28"/>
        </w:rPr>
        <w:t>переселены</w:t>
      </w:r>
      <w:r w:rsidRPr="00576DF9">
        <w:t xml:space="preserve"> </w:t>
      </w:r>
      <w:r w:rsidRPr="00576DF9">
        <w:rPr>
          <w:sz w:val="28"/>
          <w:szCs w:val="28"/>
        </w:rPr>
        <w:t xml:space="preserve">90 семей (199 человек). </w:t>
      </w:r>
    </w:p>
    <w:p w:rsidR="007A2E49" w:rsidRPr="00576DF9" w:rsidRDefault="007A2E49" w:rsidP="007A2E49">
      <w:pPr>
        <w:ind w:firstLine="709"/>
        <w:jc w:val="both"/>
        <w:rPr>
          <w:sz w:val="28"/>
          <w:szCs w:val="28"/>
        </w:rPr>
      </w:pPr>
      <w:r w:rsidRPr="00576DF9">
        <w:rPr>
          <w:sz w:val="28"/>
          <w:szCs w:val="28"/>
        </w:rPr>
        <w:t xml:space="preserve">Ежегодно этапы Подпрограммы 1 государственной программы «Переселение граждан из аварийного жилищного фонда в Московской области» по завершению соответствующего финансового года подлежат корректировке с учетом фактического исполнения плановых показателей по переселению граждан из аварийного жилищного фонда Московской области в соответствии с заключенными контрактами на проведение работ. При этом условия </w:t>
      </w:r>
      <w:proofErr w:type="spellStart"/>
      <w:r w:rsidRPr="00576DF9">
        <w:rPr>
          <w:sz w:val="28"/>
          <w:szCs w:val="28"/>
        </w:rPr>
        <w:t>софинансирования</w:t>
      </w:r>
      <w:proofErr w:type="spellEnd"/>
      <w:r w:rsidRPr="00576DF9">
        <w:rPr>
          <w:sz w:val="28"/>
          <w:szCs w:val="28"/>
        </w:rPr>
        <w:t xml:space="preserve"> прошедших и незавершенных этапов сохраняются.</w:t>
      </w:r>
    </w:p>
    <w:p w:rsidR="007A2E49" w:rsidRPr="00C14312" w:rsidRDefault="007A2E49" w:rsidP="007A2E49">
      <w:pPr>
        <w:ind w:firstLine="709"/>
        <w:jc w:val="both"/>
        <w:rPr>
          <w:sz w:val="28"/>
          <w:szCs w:val="28"/>
        </w:rPr>
      </w:pPr>
      <w:r w:rsidRPr="00C14312">
        <w:rPr>
          <w:sz w:val="28"/>
          <w:szCs w:val="28"/>
        </w:rPr>
        <w:t>Перечень аварийного жилищного фонда на территории Одинцовского городского округа, по которому осуществляются завершающие мероприятия по переселению, представлен в Таблице № 1.</w:t>
      </w:r>
    </w:p>
    <w:p w:rsidR="007A2E49" w:rsidRPr="00C14312" w:rsidRDefault="007A2E49" w:rsidP="007A2E49">
      <w:pPr>
        <w:ind w:firstLine="709"/>
        <w:jc w:val="both"/>
        <w:rPr>
          <w:sz w:val="28"/>
          <w:szCs w:val="28"/>
        </w:rPr>
      </w:pPr>
    </w:p>
    <w:p w:rsidR="007A2E49" w:rsidRPr="00C14312" w:rsidRDefault="007A2E49" w:rsidP="007A2E49">
      <w:pPr>
        <w:ind w:left="709" w:right="-142"/>
        <w:contextualSpacing/>
        <w:jc w:val="right"/>
        <w:outlineLvl w:val="0"/>
        <w:rPr>
          <w:sz w:val="28"/>
          <w:szCs w:val="28"/>
        </w:rPr>
      </w:pPr>
      <w:r w:rsidRPr="00C14312">
        <w:rPr>
          <w:sz w:val="28"/>
          <w:szCs w:val="28"/>
        </w:rPr>
        <w:t>Таблица № 1</w:t>
      </w:r>
    </w:p>
    <w:p w:rsidR="007A2E49" w:rsidRPr="00C14312" w:rsidRDefault="007A2E49" w:rsidP="007A2E49">
      <w:pPr>
        <w:ind w:left="709" w:right="-142"/>
        <w:contextualSpacing/>
        <w:jc w:val="right"/>
        <w:outlineLvl w:val="0"/>
        <w:rPr>
          <w:sz w:val="28"/>
          <w:szCs w:val="28"/>
        </w:rPr>
      </w:pPr>
    </w:p>
    <w:p w:rsidR="007A2E49" w:rsidRPr="00C14312" w:rsidRDefault="007A2E49" w:rsidP="007A2E49">
      <w:pPr>
        <w:jc w:val="center"/>
        <w:rPr>
          <w:sz w:val="28"/>
          <w:szCs w:val="28"/>
        </w:rPr>
      </w:pPr>
      <w:r w:rsidRPr="00C14312">
        <w:rPr>
          <w:sz w:val="28"/>
          <w:szCs w:val="28"/>
        </w:rPr>
        <w:t>Перечень аварийного жилищного фонда, по которому осуществляются завершающие мероприятия по переселению в рамках Подпрограммы 1</w:t>
      </w:r>
    </w:p>
    <w:p w:rsidR="007A2E49" w:rsidRPr="00C14312" w:rsidRDefault="007A2E49" w:rsidP="007A2E49">
      <w:pPr>
        <w:ind w:firstLine="708"/>
        <w:jc w:val="center"/>
        <w:rPr>
          <w:sz w:val="28"/>
          <w:szCs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276"/>
        <w:gridCol w:w="1417"/>
        <w:gridCol w:w="1843"/>
        <w:gridCol w:w="1843"/>
      </w:tblGrid>
      <w:tr w:rsidR="00C14312" w:rsidRPr="00C14312" w:rsidTr="008018C5">
        <w:trPr>
          <w:trHeight w:val="980"/>
          <w:tblHeader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</w:p>
          <w:p w:rsidR="007A2E49" w:rsidRPr="00C14312" w:rsidRDefault="007A2E49" w:rsidP="008018C5">
            <w:pPr>
              <w:jc w:val="center"/>
            </w:pPr>
          </w:p>
          <w:p w:rsidR="007A2E49" w:rsidRPr="00C14312" w:rsidRDefault="007A2E49" w:rsidP="008018C5">
            <w:pPr>
              <w:jc w:val="center"/>
            </w:pPr>
            <w:r w:rsidRPr="00C14312"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Адрес дома: Московская область, Одинцовский городской округ,</w:t>
            </w:r>
          </w:p>
          <w:p w:rsidR="007A2E49" w:rsidRPr="00C14312" w:rsidRDefault="007A2E49" w:rsidP="008018C5">
            <w:pPr>
              <w:jc w:val="center"/>
            </w:pPr>
            <w:r w:rsidRPr="00C14312">
              <w:t>г. Звенигород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Постановление о признании дома аварийным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 xml:space="preserve">Общая площадь расселяемых жилых помещений, </w:t>
            </w:r>
            <w:proofErr w:type="spellStart"/>
            <w:r w:rsidRPr="00C14312">
              <w:t>кв.м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Количество граждан, расселяемых из аварийного жилищного фонда</w:t>
            </w:r>
          </w:p>
        </w:tc>
      </w:tr>
      <w:tr w:rsidR="00C14312" w:rsidRPr="00C14312" w:rsidTr="008018C5">
        <w:trPr>
          <w:trHeight w:val="720"/>
          <w:jc w:val="center"/>
        </w:trPr>
        <w:tc>
          <w:tcPr>
            <w:tcW w:w="675" w:type="dxa"/>
            <w:vMerge/>
            <w:shd w:val="clear" w:color="auto" w:fill="auto"/>
          </w:tcPr>
          <w:p w:rsidR="007A2E49" w:rsidRPr="00C14312" w:rsidRDefault="007A2E49" w:rsidP="008018C5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A2E49" w:rsidRPr="00C14312" w:rsidRDefault="007A2E49" w:rsidP="008018C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номер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дата</w:t>
            </w:r>
          </w:p>
        </w:tc>
        <w:tc>
          <w:tcPr>
            <w:tcW w:w="1843" w:type="dxa"/>
            <w:vMerge/>
            <w:shd w:val="clear" w:color="auto" w:fill="auto"/>
          </w:tcPr>
          <w:p w:rsidR="007A2E49" w:rsidRPr="00C14312" w:rsidRDefault="007A2E49" w:rsidP="008018C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2E49" w:rsidRPr="00C14312" w:rsidRDefault="007A2E49" w:rsidP="008018C5">
            <w:pPr>
              <w:jc w:val="center"/>
              <w:rPr>
                <w:b/>
              </w:rPr>
            </w:pPr>
          </w:p>
        </w:tc>
      </w:tr>
      <w:tr w:rsidR="00C14312" w:rsidRPr="00C14312" w:rsidTr="008018C5">
        <w:trPr>
          <w:trHeight w:val="41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A2E49" w:rsidRPr="00C14312" w:rsidRDefault="007A2E49" w:rsidP="007A2E49">
            <w:pPr>
              <w:numPr>
                <w:ilvl w:val="0"/>
                <w:numId w:val="1"/>
              </w:numPr>
              <w:ind w:left="0" w:firstLine="142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49" w:rsidRPr="00C14312" w:rsidRDefault="007A2E49" w:rsidP="008018C5">
            <w:r w:rsidRPr="00C14312">
              <w:t>пос. сан. Поречье, д.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01.07.2016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29,9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1</w:t>
            </w:r>
          </w:p>
        </w:tc>
      </w:tr>
      <w:tr w:rsidR="007A2E49" w:rsidRPr="00C14312" w:rsidTr="008018C5">
        <w:trPr>
          <w:trHeight w:val="557"/>
          <w:jc w:val="center"/>
        </w:trPr>
        <w:tc>
          <w:tcPr>
            <w:tcW w:w="675" w:type="dxa"/>
            <w:shd w:val="clear" w:color="auto" w:fill="auto"/>
          </w:tcPr>
          <w:p w:rsidR="007A2E49" w:rsidRPr="00C14312" w:rsidRDefault="007A2E49" w:rsidP="008018C5">
            <w:pPr>
              <w:ind w:left="425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49" w:rsidRPr="00C14312" w:rsidRDefault="007A2E49" w:rsidP="008018C5">
            <w:r w:rsidRPr="00C14312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29,9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1</w:t>
            </w:r>
          </w:p>
        </w:tc>
      </w:tr>
    </w:tbl>
    <w:p w:rsidR="007A2E49" w:rsidRPr="00C14312" w:rsidRDefault="007A2E49" w:rsidP="007A2E49">
      <w:pPr>
        <w:ind w:right="-142" w:firstLine="709"/>
        <w:contextualSpacing/>
        <w:jc w:val="right"/>
        <w:outlineLvl w:val="0"/>
        <w:rPr>
          <w:sz w:val="28"/>
          <w:szCs w:val="28"/>
        </w:rPr>
      </w:pPr>
    </w:p>
    <w:p w:rsidR="007A2E49" w:rsidRPr="00C14312" w:rsidRDefault="007A2E49" w:rsidP="007A2E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312">
        <w:rPr>
          <w:sz w:val="28"/>
          <w:szCs w:val="28"/>
        </w:rPr>
        <w:t>Для достижения результатов подпрограммы «Обеспечение мероприятий по переселению граждан из аварийного жилищного фонда в Московской области» Муниципальной программы (далее – Подпрограмма 2) жителям аварийного жилищного фонда, расположенного на территории Одинцовского городского округа Московской области, планируется предоставление жилых помещений из муниципального жилищного фонда или предоставления возмещения за жилые помещения, а также расселение аварийного жилья путем включения аварийных домов в проекты Градостроительной концепции  комплексного развития территорий.</w:t>
      </w:r>
    </w:p>
    <w:p w:rsidR="007A2E49" w:rsidRPr="00C14312" w:rsidRDefault="007A2E49" w:rsidP="007A2E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312">
        <w:rPr>
          <w:sz w:val="28"/>
          <w:szCs w:val="28"/>
        </w:rPr>
        <w:t xml:space="preserve"> Перечень аварийного жилищного фонда, подлежащего переселению в рамках Подпрограммы 2 на территории Одинцовского городского округа, представлен в Таблице №1.</w:t>
      </w:r>
    </w:p>
    <w:p w:rsidR="007A2E49" w:rsidRPr="00C14312" w:rsidRDefault="007A2E49" w:rsidP="007A2E49">
      <w:pPr>
        <w:ind w:right="-142" w:firstLine="709"/>
        <w:contextualSpacing/>
        <w:jc w:val="right"/>
        <w:outlineLvl w:val="0"/>
        <w:rPr>
          <w:sz w:val="28"/>
          <w:szCs w:val="28"/>
        </w:rPr>
      </w:pPr>
    </w:p>
    <w:p w:rsidR="007A2E49" w:rsidRPr="00C14312" w:rsidRDefault="007A2E49" w:rsidP="007A2E49">
      <w:pPr>
        <w:ind w:right="-142" w:firstLine="709"/>
        <w:contextualSpacing/>
        <w:jc w:val="right"/>
        <w:outlineLvl w:val="0"/>
        <w:rPr>
          <w:sz w:val="28"/>
          <w:szCs w:val="28"/>
        </w:rPr>
      </w:pPr>
      <w:r w:rsidRPr="00C14312">
        <w:rPr>
          <w:sz w:val="28"/>
          <w:szCs w:val="28"/>
        </w:rPr>
        <w:t>Таблица № 1</w:t>
      </w:r>
    </w:p>
    <w:p w:rsidR="007A2E49" w:rsidRPr="00C14312" w:rsidRDefault="007A2E49" w:rsidP="007A2E49">
      <w:pPr>
        <w:ind w:firstLine="708"/>
        <w:jc w:val="center"/>
        <w:rPr>
          <w:sz w:val="28"/>
          <w:szCs w:val="28"/>
        </w:rPr>
      </w:pPr>
      <w:r w:rsidRPr="00C14312">
        <w:rPr>
          <w:sz w:val="28"/>
          <w:szCs w:val="28"/>
        </w:rPr>
        <w:t>Перечень аварийного жилищного фонда,</w:t>
      </w:r>
    </w:p>
    <w:p w:rsidR="007A2E49" w:rsidRPr="00C14312" w:rsidRDefault="007A2E49" w:rsidP="007A2E49">
      <w:pPr>
        <w:ind w:firstLine="708"/>
        <w:jc w:val="center"/>
        <w:rPr>
          <w:sz w:val="28"/>
          <w:szCs w:val="28"/>
        </w:rPr>
      </w:pPr>
      <w:r w:rsidRPr="00C14312">
        <w:rPr>
          <w:sz w:val="28"/>
          <w:szCs w:val="28"/>
        </w:rPr>
        <w:t xml:space="preserve"> подлежащего переселению в рамках Подпрограммы 2</w:t>
      </w:r>
    </w:p>
    <w:p w:rsidR="007A2E49" w:rsidRPr="00C14312" w:rsidRDefault="007A2E49" w:rsidP="007A2E49">
      <w:pPr>
        <w:ind w:firstLine="708"/>
        <w:jc w:val="center"/>
        <w:rPr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799"/>
        <w:gridCol w:w="992"/>
        <w:gridCol w:w="1304"/>
        <w:gridCol w:w="2127"/>
        <w:gridCol w:w="1417"/>
        <w:gridCol w:w="997"/>
      </w:tblGrid>
      <w:tr w:rsidR="00C14312" w:rsidRPr="00C14312" w:rsidTr="008018C5">
        <w:trPr>
          <w:trHeight w:val="419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№ п/п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Адрес дома: Московская область, Одинцовский городской округ</w:t>
            </w: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Распоряжение о признании дома аварийным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 xml:space="preserve">Общая площадь расселяемых жилых помещений, </w:t>
            </w:r>
            <w:proofErr w:type="spellStart"/>
            <w:r w:rsidRPr="00C14312">
              <w:t>кв.м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Кол-во расселяемых жилых помещений</w:t>
            </w:r>
          </w:p>
          <w:p w:rsidR="007A2E49" w:rsidRPr="00C14312" w:rsidRDefault="007A2E49" w:rsidP="008018C5">
            <w:pPr>
              <w:jc w:val="center"/>
            </w:pP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Кол-во человек</w:t>
            </w:r>
          </w:p>
        </w:tc>
      </w:tr>
      <w:tr w:rsidR="00C14312" w:rsidRPr="00C14312" w:rsidTr="008018C5">
        <w:trPr>
          <w:trHeight w:val="369"/>
          <w:jc w:val="center"/>
        </w:trPr>
        <w:tc>
          <w:tcPr>
            <w:tcW w:w="570" w:type="dxa"/>
            <w:vMerge/>
            <w:shd w:val="clear" w:color="auto" w:fill="auto"/>
          </w:tcPr>
          <w:p w:rsidR="007A2E49" w:rsidRPr="00C14312" w:rsidRDefault="007A2E49" w:rsidP="008018C5">
            <w:pPr>
              <w:jc w:val="center"/>
              <w:rPr>
                <w:b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:rsidR="007A2E49" w:rsidRPr="00C14312" w:rsidRDefault="007A2E49" w:rsidP="008018C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 xml:space="preserve"> номер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дата</w:t>
            </w:r>
          </w:p>
        </w:tc>
        <w:tc>
          <w:tcPr>
            <w:tcW w:w="2127" w:type="dxa"/>
            <w:vMerge/>
            <w:shd w:val="clear" w:color="auto" w:fill="auto"/>
          </w:tcPr>
          <w:p w:rsidR="007A2E49" w:rsidRPr="00C14312" w:rsidRDefault="007A2E49" w:rsidP="008018C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A2E49" w:rsidRPr="00C14312" w:rsidRDefault="007A2E49" w:rsidP="008018C5">
            <w:pPr>
              <w:jc w:val="center"/>
              <w:rPr>
                <w:b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7A2E49" w:rsidRPr="00C14312" w:rsidRDefault="007A2E49" w:rsidP="008018C5">
            <w:pPr>
              <w:jc w:val="center"/>
              <w:rPr>
                <w:b/>
              </w:rPr>
            </w:pPr>
          </w:p>
        </w:tc>
      </w:tr>
      <w:tr w:rsidR="00C14312" w:rsidRPr="00C14312" w:rsidTr="008018C5">
        <w:trPr>
          <w:trHeight w:val="369"/>
          <w:jc w:val="center"/>
        </w:trPr>
        <w:tc>
          <w:tcPr>
            <w:tcW w:w="570" w:type="dxa"/>
            <w:shd w:val="clear" w:color="auto" w:fill="auto"/>
          </w:tcPr>
          <w:p w:rsidR="007A2E49" w:rsidRPr="00C14312" w:rsidRDefault="007A2E49" w:rsidP="008018C5">
            <w:r w:rsidRPr="00C14312">
              <w:t>1.</w:t>
            </w:r>
          </w:p>
        </w:tc>
        <w:tc>
          <w:tcPr>
            <w:tcW w:w="2799" w:type="dxa"/>
            <w:shd w:val="clear" w:color="auto" w:fill="auto"/>
          </w:tcPr>
          <w:p w:rsidR="007A2E49" w:rsidRPr="00C14312" w:rsidRDefault="007A2E49" w:rsidP="008018C5">
            <w:pPr>
              <w:rPr>
                <w:b/>
              </w:rPr>
            </w:pPr>
            <w:r w:rsidRPr="00C14312">
              <w:t xml:space="preserve">пос. </w:t>
            </w:r>
            <w:proofErr w:type="spellStart"/>
            <w:r w:rsidRPr="00C14312">
              <w:t>Барвиха</w:t>
            </w:r>
            <w:proofErr w:type="spellEnd"/>
            <w:r w:rsidRPr="00C14312">
              <w:t>, д. 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121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09.04.2010</w:t>
            </w:r>
          </w:p>
        </w:tc>
        <w:tc>
          <w:tcPr>
            <w:tcW w:w="2127" w:type="dxa"/>
            <w:shd w:val="clear" w:color="auto" w:fill="auto"/>
          </w:tcPr>
          <w:p w:rsidR="007A2E49" w:rsidRPr="00C14312" w:rsidRDefault="007A2E49" w:rsidP="008018C5">
            <w:pPr>
              <w:jc w:val="center"/>
              <w:rPr>
                <w:b/>
              </w:rPr>
            </w:pPr>
            <w:r w:rsidRPr="00C14312">
              <w:t>223,7</w:t>
            </w:r>
          </w:p>
        </w:tc>
        <w:tc>
          <w:tcPr>
            <w:tcW w:w="1417" w:type="dxa"/>
            <w:shd w:val="clear" w:color="auto" w:fill="auto"/>
          </w:tcPr>
          <w:p w:rsidR="007A2E49" w:rsidRPr="00C14312" w:rsidRDefault="007A2E49" w:rsidP="008018C5">
            <w:pPr>
              <w:jc w:val="center"/>
              <w:rPr>
                <w:b/>
              </w:rPr>
            </w:pPr>
            <w:r w:rsidRPr="00C14312">
              <w:t>3</w:t>
            </w:r>
          </w:p>
        </w:tc>
        <w:tc>
          <w:tcPr>
            <w:tcW w:w="997" w:type="dxa"/>
            <w:shd w:val="clear" w:color="auto" w:fill="auto"/>
          </w:tcPr>
          <w:p w:rsidR="007A2E49" w:rsidRPr="00C14312" w:rsidRDefault="007A2E49" w:rsidP="008018C5">
            <w:pPr>
              <w:jc w:val="center"/>
              <w:rPr>
                <w:b/>
              </w:rPr>
            </w:pPr>
            <w:r w:rsidRPr="00C14312">
              <w:t>7</w:t>
            </w:r>
          </w:p>
        </w:tc>
      </w:tr>
      <w:tr w:rsidR="00C14312" w:rsidRPr="00C14312" w:rsidTr="008018C5">
        <w:trPr>
          <w:trHeight w:val="21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2E49" w:rsidRPr="00C14312" w:rsidRDefault="007A2E49" w:rsidP="008018C5">
            <w:pPr>
              <w:spacing w:after="160" w:line="259" w:lineRule="auto"/>
            </w:pPr>
            <w:r w:rsidRPr="00C14312">
              <w:t>2.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49" w:rsidRPr="00C14312" w:rsidRDefault="007A2E49" w:rsidP="008018C5">
            <w:r w:rsidRPr="00C14312">
              <w:t>ст. Усово, д. 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205-р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15.07.2019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57,8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2</w:t>
            </w:r>
          </w:p>
        </w:tc>
      </w:tr>
      <w:tr w:rsidR="00C14312" w:rsidRPr="00C14312" w:rsidTr="008018C5">
        <w:trPr>
          <w:trHeight w:val="21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2E49" w:rsidRPr="00C14312" w:rsidRDefault="007A2E49" w:rsidP="008018C5">
            <w:pPr>
              <w:spacing w:after="160" w:line="259" w:lineRule="auto"/>
            </w:pPr>
            <w:r w:rsidRPr="00C14312">
              <w:t>3.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49" w:rsidRPr="00C14312" w:rsidRDefault="007A2E49" w:rsidP="008018C5">
            <w:r w:rsidRPr="00C14312">
              <w:t xml:space="preserve">д. </w:t>
            </w:r>
            <w:proofErr w:type="spellStart"/>
            <w:r w:rsidRPr="00C14312">
              <w:t>Подлипки</w:t>
            </w:r>
            <w:proofErr w:type="spellEnd"/>
            <w:r w:rsidRPr="00C14312">
              <w:t>, д. 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2290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31.05.2022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2</w:t>
            </w:r>
          </w:p>
        </w:tc>
      </w:tr>
      <w:tr w:rsidR="00C14312" w:rsidRPr="00C14312" w:rsidTr="008018C5">
        <w:trPr>
          <w:trHeight w:val="21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2E49" w:rsidRPr="00C14312" w:rsidRDefault="007A2E49" w:rsidP="008018C5">
            <w:pPr>
              <w:spacing w:after="160" w:line="259" w:lineRule="auto"/>
            </w:pPr>
            <w:r w:rsidRPr="00C14312">
              <w:t>4.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49" w:rsidRPr="00C14312" w:rsidRDefault="007A2E49" w:rsidP="008018C5">
            <w:proofErr w:type="spellStart"/>
            <w:r w:rsidRPr="00C14312">
              <w:t>р.п</w:t>
            </w:r>
            <w:proofErr w:type="spellEnd"/>
            <w:r w:rsidRPr="00C14312">
              <w:t>. Большие Вяземы, ул. Институт, д.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1835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30.03.2023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2 736,77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151</w:t>
            </w:r>
          </w:p>
        </w:tc>
      </w:tr>
      <w:tr w:rsidR="00C14312" w:rsidRPr="00C14312" w:rsidTr="008018C5">
        <w:trPr>
          <w:trHeight w:val="21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2E49" w:rsidRPr="00C14312" w:rsidRDefault="007A2E49" w:rsidP="008018C5">
            <w:pPr>
              <w:spacing w:after="160" w:line="259" w:lineRule="auto"/>
            </w:pPr>
            <w:r w:rsidRPr="00C14312">
              <w:t>5.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49" w:rsidRPr="00C14312" w:rsidRDefault="007A2E49" w:rsidP="008018C5">
            <w:proofErr w:type="spellStart"/>
            <w:r w:rsidRPr="00C14312">
              <w:t>р.п</w:t>
            </w:r>
            <w:proofErr w:type="spellEnd"/>
            <w:r w:rsidRPr="00C14312">
              <w:t>. Большие Вяземы, ул. Институт, д.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1835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30.03.2023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2 759,7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161</w:t>
            </w:r>
          </w:p>
        </w:tc>
      </w:tr>
      <w:tr w:rsidR="00C14312" w:rsidRPr="00C14312" w:rsidTr="008018C5">
        <w:trPr>
          <w:trHeight w:val="21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2E49" w:rsidRPr="00C14312" w:rsidRDefault="007A2E49" w:rsidP="008018C5">
            <w:pPr>
              <w:spacing w:after="160" w:line="259" w:lineRule="auto"/>
            </w:pPr>
            <w:r w:rsidRPr="00C14312">
              <w:t>6.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49" w:rsidRPr="00C14312" w:rsidRDefault="007A2E49" w:rsidP="008018C5">
            <w:proofErr w:type="spellStart"/>
            <w:r w:rsidRPr="00C14312">
              <w:t>р.п</w:t>
            </w:r>
            <w:proofErr w:type="spellEnd"/>
            <w:r w:rsidRPr="00C14312">
              <w:t>. Большие Вяземы, ул. Институт,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1835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30.03.2023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2 781,0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132</w:t>
            </w:r>
          </w:p>
        </w:tc>
      </w:tr>
      <w:tr w:rsidR="00C14312" w:rsidRPr="00C14312" w:rsidTr="008018C5">
        <w:trPr>
          <w:trHeight w:val="21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2E49" w:rsidRPr="00C14312" w:rsidRDefault="007A2E49" w:rsidP="008018C5">
            <w:pPr>
              <w:spacing w:after="160" w:line="259" w:lineRule="auto"/>
            </w:pPr>
            <w:r w:rsidRPr="00C14312">
              <w:t>7.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49" w:rsidRPr="00C14312" w:rsidRDefault="007A2E49" w:rsidP="008018C5">
            <w:proofErr w:type="spellStart"/>
            <w:r w:rsidRPr="00C14312">
              <w:t>р.п</w:t>
            </w:r>
            <w:proofErr w:type="spellEnd"/>
            <w:r w:rsidRPr="00C14312">
              <w:t>. Большие Вяземы, ул. Институт, д.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1835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30.03.2023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2 764,4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125</w:t>
            </w:r>
          </w:p>
        </w:tc>
      </w:tr>
      <w:tr w:rsidR="007A2E49" w:rsidRPr="00C14312" w:rsidTr="008018C5">
        <w:trPr>
          <w:trHeight w:val="453"/>
          <w:jc w:val="center"/>
        </w:trPr>
        <w:tc>
          <w:tcPr>
            <w:tcW w:w="570" w:type="dxa"/>
            <w:shd w:val="clear" w:color="auto" w:fill="auto"/>
          </w:tcPr>
          <w:p w:rsidR="007A2E49" w:rsidRPr="00C14312" w:rsidRDefault="007A2E49" w:rsidP="008018C5">
            <w:pPr>
              <w:ind w:left="425"/>
              <w:jc w:val="center"/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49" w:rsidRPr="00C14312" w:rsidRDefault="007A2E49" w:rsidP="008018C5">
            <w:r w:rsidRPr="00C14312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11 405,47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249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580</w:t>
            </w:r>
          </w:p>
        </w:tc>
      </w:tr>
    </w:tbl>
    <w:p w:rsidR="007A2E49" w:rsidRPr="00C14312" w:rsidRDefault="007A2E49" w:rsidP="007A2E49">
      <w:pPr>
        <w:ind w:firstLine="709"/>
        <w:jc w:val="both"/>
        <w:rPr>
          <w:sz w:val="28"/>
          <w:szCs w:val="28"/>
        </w:rPr>
      </w:pPr>
    </w:p>
    <w:p w:rsidR="007A2E49" w:rsidRPr="00C14312" w:rsidRDefault="007A2E49" w:rsidP="007A2E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312">
        <w:rPr>
          <w:sz w:val="28"/>
          <w:szCs w:val="28"/>
        </w:rPr>
        <w:t xml:space="preserve">В рамках выполнения мероприятий подпрограммы 4 «Обеспечение мероприятий по переселению граждан из аварийного жилищного фонда в </w:t>
      </w:r>
      <w:r w:rsidRPr="00C14312">
        <w:rPr>
          <w:sz w:val="28"/>
          <w:szCs w:val="28"/>
        </w:rPr>
        <w:lastRenderedPageBreak/>
        <w:t>Московской области, признанного таковым после 1 января 2017 года» Муниципальной программы (далее -  Подпрограмма 4) планируется переселение граждан из аварийного жилищного фонда, признанного таковым после 1 января 2017 года. Переселение граждан из аварийного жилищного фонда осуществляется</w:t>
      </w:r>
      <w:r w:rsidR="00AE7290" w:rsidRPr="00C14312">
        <w:rPr>
          <w:sz w:val="28"/>
          <w:szCs w:val="28"/>
        </w:rPr>
        <w:t xml:space="preserve"> </w:t>
      </w:r>
      <w:r w:rsidRPr="00C14312">
        <w:rPr>
          <w:sz w:val="28"/>
          <w:szCs w:val="28"/>
        </w:rPr>
        <w:t>в соответствии со статьями 32, 86 и 89 Жилищного кодекса Российской Федерации путем приобретения в муниципальную собственность благоустроенных жилых помещений в многоквартирных домах с последующим предоставлением гражданам жилых помещений по договору социального найма или договору мены с собственником жилого помещения, или предоставления выплаты возмещения за изымаемые жилые помещения, имеющим в собственности ж</w:t>
      </w:r>
      <w:r w:rsidR="003D39CD" w:rsidRPr="00C14312">
        <w:rPr>
          <w:sz w:val="28"/>
          <w:szCs w:val="28"/>
        </w:rPr>
        <w:t>илые помещения в аварийном доме,</w:t>
      </w:r>
      <w:r w:rsidRPr="00C14312">
        <w:rPr>
          <w:sz w:val="28"/>
          <w:szCs w:val="28"/>
        </w:rPr>
        <w:t xml:space="preserve"> </w:t>
      </w:r>
      <w:r w:rsidR="00AE7290" w:rsidRPr="00C14312">
        <w:rPr>
          <w:sz w:val="28"/>
          <w:szCs w:val="28"/>
        </w:rPr>
        <w:t>за счет средств бюджета Московской области и бюджета округа.</w:t>
      </w:r>
    </w:p>
    <w:p w:rsidR="0082795C" w:rsidRPr="00C14312" w:rsidRDefault="007A2E49" w:rsidP="007A2E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312">
        <w:rPr>
          <w:sz w:val="28"/>
          <w:szCs w:val="28"/>
        </w:rPr>
        <w:t>В соответствии с частью 8.1 статьи 32 Жилищного кодекса Российской Федерации</w:t>
      </w:r>
      <w:r w:rsidR="00AE7290" w:rsidRPr="00C14312">
        <w:rPr>
          <w:sz w:val="28"/>
          <w:szCs w:val="28"/>
        </w:rPr>
        <w:t xml:space="preserve"> </w:t>
      </w:r>
      <w:r w:rsidR="0082795C" w:rsidRPr="00C14312">
        <w:rPr>
          <w:sz w:val="28"/>
          <w:szCs w:val="28"/>
        </w:rPr>
        <w:t xml:space="preserve">гражданам может дополнительно предоставляться субсидия на приобретение (строительство) жилых помещений. Порядок предоставления субсидий гражданам, переселяемым из аварийного жилищного фонда, на приобретение (строительство) жилых помещений утвержден </w:t>
      </w:r>
      <w:r w:rsidR="00AE7290" w:rsidRPr="00C14312">
        <w:rPr>
          <w:sz w:val="28"/>
          <w:szCs w:val="28"/>
        </w:rPr>
        <w:t>Постановлением Правительства Московской области от 19.12.2023 № 1261-П</w:t>
      </w:r>
      <w:r w:rsidR="0082795C" w:rsidRPr="00C14312">
        <w:rPr>
          <w:sz w:val="28"/>
          <w:szCs w:val="28"/>
        </w:rPr>
        <w:t>.</w:t>
      </w:r>
      <w:r w:rsidRPr="00C14312">
        <w:rPr>
          <w:sz w:val="28"/>
          <w:szCs w:val="28"/>
        </w:rPr>
        <w:t xml:space="preserve"> </w:t>
      </w:r>
    </w:p>
    <w:p w:rsidR="007A2E49" w:rsidRPr="00C14312" w:rsidRDefault="007A2E49" w:rsidP="007A2E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312">
        <w:rPr>
          <w:sz w:val="28"/>
          <w:szCs w:val="28"/>
        </w:rPr>
        <w:t xml:space="preserve"> Перечень аварийного жилищного фонда, признанного таковым после 1 января 2017 года и подлежащего переселению в рамках Подпрограммы 4 представлен в Таблице 2.</w:t>
      </w:r>
    </w:p>
    <w:p w:rsidR="007A2E49" w:rsidRPr="00C14312" w:rsidRDefault="007A2E49" w:rsidP="007A2E49">
      <w:pPr>
        <w:ind w:right="-142" w:firstLine="709"/>
        <w:contextualSpacing/>
        <w:jc w:val="right"/>
        <w:outlineLvl w:val="0"/>
        <w:rPr>
          <w:sz w:val="28"/>
          <w:szCs w:val="28"/>
        </w:rPr>
      </w:pPr>
    </w:p>
    <w:p w:rsidR="007A2E49" w:rsidRPr="00C14312" w:rsidRDefault="007A2E49" w:rsidP="007A2E49">
      <w:pPr>
        <w:ind w:right="-142" w:firstLine="709"/>
        <w:contextualSpacing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C14312">
        <w:rPr>
          <w:sz w:val="28"/>
          <w:szCs w:val="28"/>
        </w:rPr>
        <w:t>Таблица № 2</w:t>
      </w:r>
    </w:p>
    <w:p w:rsidR="007A2E49" w:rsidRPr="00C14312" w:rsidRDefault="007A2E49" w:rsidP="007A2E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E49" w:rsidRPr="00C14312" w:rsidRDefault="007A2E49" w:rsidP="007A2E49">
      <w:pPr>
        <w:ind w:firstLine="567"/>
        <w:jc w:val="center"/>
        <w:rPr>
          <w:sz w:val="28"/>
          <w:szCs w:val="28"/>
        </w:rPr>
      </w:pPr>
      <w:r w:rsidRPr="00C14312">
        <w:rPr>
          <w:sz w:val="28"/>
          <w:szCs w:val="28"/>
        </w:rPr>
        <w:t>Перечень аварийного жилищного фонда, признанного таковым после</w:t>
      </w:r>
    </w:p>
    <w:p w:rsidR="007A2E49" w:rsidRPr="00C14312" w:rsidRDefault="007A2E49" w:rsidP="007A2E49">
      <w:pPr>
        <w:ind w:firstLine="567"/>
        <w:jc w:val="center"/>
        <w:rPr>
          <w:sz w:val="28"/>
          <w:szCs w:val="28"/>
        </w:rPr>
      </w:pPr>
      <w:r w:rsidRPr="00C14312">
        <w:rPr>
          <w:sz w:val="28"/>
          <w:szCs w:val="28"/>
        </w:rPr>
        <w:t>1 января 2017 года и подлежащего переселению в рамках Подпрограммы 4</w:t>
      </w:r>
    </w:p>
    <w:p w:rsidR="007A2E49" w:rsidRPr="00C14312" w:rsidRDefault="007A2E49" w:rsidP="007A2E49">
      <w:pPr>
        <w:ind w:firstLine="708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170" w:tblpY="15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799"/>
        <w:gridCol w:w="992"/>
        <w:gridCol w:w="1304"/>
        <w:gridCol w:w="1985"/>
        <w:gridCol w:w="1417"/>
        <w:gridCol w:w="1139"/>
      </w:tblGrid>
      <w:tr w:rsidR="00C14312" w:rsidRPr="00C14312" w:rsidTr="008018C5">
        <w:trPr>
          <w:trHeight w:val="419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№ п/п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Адрес дома: Московская область, Одинцовский городской округ</w:t>
            </w: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Распоряжение о признании дома аварийным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 xml:space="preserve">Общая площадь расселяемых жилых помещений, </w:t>
            </w:r>
            <w:proofErr w:type="spellStart"/>
            <w:r w:rsidRPr="00C14312">
              <w:t>кв.м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Кол-во расселяемых жилых помещений</w:t>
            </w:r>
          </w:p>
          <w:p w:rsidR="007A2E49" w:rsidRPr="00C14312" w:rsidRDefault="007A2E49" w:rsidP="008018C5">
            <w:pPr>
              <w:jc w:val="center"/>
            </w:pP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Кол-во человек</w:t>
            </w:r>
          </w:p>
        </w:tc>
      </w:tr>
      <w:tr w:rsidR="00C14312" w:rsidRPr="00C14312" w:rsidTr="008018C5">
        <w:trPr>
          <w:trHeight w:val="369"/>
        </w:trPr>
        <w:tc>
          <w:tcPr>
            <w:tcW w:w="570" w:type="dxa"/>
            <w:vMerge/>
            <w:shd w:val="clear" w:color="auto" w:fill="auto"/>
          </w:tcPr>
          <w:p w:rsidR="007A2E49" w:rsidRPr="00C14312" w:rsidRDefault="007A2E49" w:rsidP="008018C5">
            <w:pPr>
              <w:jc w:val="center"/>
              <w:rPr>
                <w:b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:rsidR="007A2E49" w:rsidRPr="00C14312" w:rsidRDefault="007A2E49" w:rsidP="008018C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 xml:space="preserve"> номер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дата</w:t>
            </w:r>
          </w:p>
        </w:tc>
        <w:tc>
          <w:tcPr>
            <w:tcW w:w="1985" w:type="dxa"/>
            <w:vMerge/>
            <w:shd w:val="clear" w:color="auto" w:fill="auto"/>
          </w:tcPr>
          <w:p w:rsidR="007A2E49" w:rsidRPr="00C14312" w:rsidRDefault="007A2E49" w:rsidP="008018C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A2E49" w:rsidRPr="00C14312" w:rsidRDefault="007A2E49" w:rsidP="008018C5">
            <w:pPr>
              <w:jc w:val="center"/>
              <w:rPr>
                <w:b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7A2E49" w:rsidRPr="00C14312" w:rsidRDefault="007A2E49" w:rsidP="008018C5">
            <w:pPr>
              <w:jc w:val="center"/>
              <w:rPr>
                <w:b/>
              </w:rPr>
            </w:pPr>
          </w:p>
        </w:tc>
      </w:tr>
      <w:tr w:rsidR="00C14312" w:rsidRPr="00C14312" w:rsidTr="008018C5">
        <w:trPr>
          <w:trHeight w:val="214"/>
        </w:trPr>
        <w:tc>
          <w:tcPr>
            <w:tcW w:w="570" w:type="dxa"/>
            <w:shd w:val="clear" w:color="auto" w:fill="auto"/>
            <w:vAlign w:val="center"/>
          </w:tcPr>
          <w:p w:rsidR="007A2E49" w:rsidRPr="00C14312" w:rsidRDefault="007A2E49" w:rsidP="008018C5">
            <w:pPr>
              <w:spacing w:after="160" w:line="259" w:lineRule="auto"/>
            </w:pPr>
            <w:r w:rsidRPr="00C14312">
              <w:t>1.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49" w:rsidRPr="00C14312" w:rsidRDefault="007A2E49" w:rsidP="008018C5">
            <w:r w:rsidRPr="00C14312">
              <w:t xml:space="preserve">г. Звенигород, </w:t>
            </w:r>
            <w:proofErr w:type="spellStart"/>
            <w:r w:rsidRPr="00C14312">
              <w:t>Нахабинское</w:t>
            </w:r>
            <w:proofErr w:type="spellEnd"/>
            <w:r w:rsidRPr="00C14312">
              <w:t xml:space="preserve"> шоссе, д.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969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49" w:rsidRPr="00C14312" w:rsidRDefault="007A2E49" w:rsidP="008018C5">
            <w:r w:rsidRPr="00C14312">
              <w:t>07.09.2018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1 505,8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36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77</w:t>
            </w:r>
          </w:p>
        </w:tc>
      </w:tr>
      <w:tr w:rsidR="00C14312" w:rsidRPr="00C14312" w:rsidTr="008018C5">
        <w:trPr>
          <w:trHeight w:val="214"/>
        </w:trPr>
        <w:tc>
          <w:tcPr>
            <w:tcW w:w="570" w:type="dxa"/>
            <w:shd w:val="clear" w:color="auto" w:fill="auto"/>
            <w:vAlign w:val="center"/>
          </w:tcPr>
          <w:p w:rsidR="007A2E49" w:rsidRPr="00C14312" w:rsidRDefault="007A2E49" w:rsidP="008018C5">
            <w:pPr>
              <w:spacing w:after="160" w:line="259" w:lineRule="auto"/>
            </w:pPr>
            <w:r w:rsidRPr="00C14312">
              <w:t>2.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49" w:rsidRPr="00C14312" w:rsidRDefault="007A2E49" w:rsidP="008018C5">
            <w:r w:rsidRPr="00C14312">
              <w:t xml:space="preserve">г. Одинцово, </w:t>
            </w:r>
          </w:p>
          <w:p w:rsidR="007A2E49" w:rsidRPr="00C14312" w:rsidRDefault="007A2E49" w:rsidP="008018C5">
            <w:r w:rsidRPr="00C14312">
              <w:t>ул. Ракетчиков, д. 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4517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49" w:rsidRPr="00C14312" w:rsidRDefault="007A2E49" w:rsidP="008018C5">
            <w:r w:rsidRPr="00C14312">
              <w:t>10.12.2021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1</w:t>
            </w:r>
          </w:p>
        </w:tc>
      </w:tr>
      <w:tr w:rsidR="00C14312" w:rsidRPr="00C14312" w:rsidTr="008018C5">
        <w:trPr>
          <w:trHeight w:val="453"/>
        </w:trPr>
        <w:tc>
          <w:tcPr>
            <w:tcW w:w="570" w:type="dxa"/>
            <w:shd w:val="clear" w:color="auto" w:fill="auto"/>
          </w:tcPr>
          <w:p w:rsidR="007A2E49" w:rsidRPr="00C14312" w:rsidRDefault="007A2E49" w:rsidP="008018C5">
            <w:pPr>
              <w:ind w:left="425"/>
              <w:jc w:val="center"/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49" w:rsidRPr="00C14312" w:rsidRDefault="007A2E49" w:rsidP="008018C5">
            <w:r w:rsidRPr="00C14312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49" w:rsidRPr="00C14312" w:rsidRDefault="007A2E49" w:rsidP="008018C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1 567,7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37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49" w:rsidRPr="00C14312" w:rsidRDefault="007A2E49" w:rsidP="008018C5">
            <w:pPr>
              <w:jc w:val="center"/>
            </w:pPr>
            <w:r w:rsidRPr="00C14312">
              <w:t>78</w:t>
            </w:r>
          </w:p>
        </w:tc>
      </w:tr>
    </w:tbl>
    <w:p w:rsidR="007A2E49" w:rsidRPr="00C14312" w:rsidRDefault="007A2E49" w:rsidP="007A2E49">
      <w:pPr>
        <w:jc w:val="right"/>
        <w:rPr>
          <w:sz w:val="28"/>
          <w:szCs w:val="28"/>
        </w:rPr>
      </w:pPr>
      <w:r w:rsidRPr="00C14312">
        <w:rPr>
          <w:sz w:val="28"/>
          <w:szCs w:val="28"/>
        </w:rPr>
        <w:t>».</w:t>
      </w:r>
    </w:p>
    <w:p w:rsidR="007A2E49" w:rsidRPr="00C14312" w:rsidRDefault="007A2E49" w:rsidP="007A2E49">
      <w:pPr>
        <w:pStyle w:val="ConsPlusNormal"/>
        <w:jc w:val="both"/>
        <w:rPr>
          <w:sz w:val="28"/>
          <w:szCs w:val="28"/>
        </w:rPr>
      </w:pPr>
    </w:p>
    <w:p w:rsidR="00AF77B2" w:rsidRPr="00C14312" w:rsidRDefault="00AF77B2">
      <w:pPr>
        <w:rPr>
          <w:sz w:val="28"/>
          <w:szCs w:val="28"/>
        </w:rPr>
      </w:pPr>
    </w:p>
    <w:p w:rsidR="00743F8D" w:rsidRDefault="00AF77B2">
      <w:pPr>
        <w:rPr>
          <w:sz w:val="28"/>
          <w:szCs w:val="28"/>
        </w:rPr>
      </w:pPr>
      <w:proofErr w:type="spellStart"/>
      <w:r w:rsidRPr="00C14312">
        <w:rPr>
          <w:sz w:val="28"/>
          <w:szCs w:val="28"/>
        </w:rPr>
        <w:t>И.о</w:t>
      </w:r>
      <w:proofErr w:type="spellEnd"/>
      <w:r w:rsidRPr="00C14312">
        <w:rPr>
          <w:sz w:val="28"/>
          <w:szCs w:val="28"/>
        </w:rPr>
        <w:t>. начальника Управления жилищных отношений                      Т.В. Бондарева</w:t>
      </w:r>
    </w:p>
    <w:sectPr w:rsidR="00743F8D" w:rsidSect="00D06B3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20B48"/>
    <w:multiLevelType w:val="multilevel"/>
    <w:tmpl w:val="E6F02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39"/>
    <w:rsid w:val="00043773"/>
    <w:rsid w:val="00397E04"/>
    <w:rsid w:val="003D39CD"/>
    <w:rsid w:val="00566E15"/>
    <w:rsid w:val="00743F8D"/>
    <w:rsid w:val="007A2E49"/>
    <w:rsid w:val="008114C5"/>
    <w:rsid w:val="0082795C"/>
    <w:rsid w:val="00A77975"/>
    <w:rsid w:val="00AD3935"/>
    <w:rsid w:val="00AE7290"/>
    <w:rsid w:val="00AF77B2"/>
    <w:rsid w:val="00B33C94"/>
    <w:rsid w:val="00C14312"/>
    <w:rsid w:val="00D06B39"/>
    <w:rsid w:val="00D45178"/>
    <w:rsid w:val="00EF1E29"/>
    <w:rsid w:val="00F630B7"/>
    <w:rsid w:val="00F94AB2"/>
    <w:rsid w:val="00FB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0158B-F76D-4FC8-A4E9-D4B8E5D8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06B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06B3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D06B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Абзац списка Знак"/>
    <w:link w:val="a5"/>
    <w:uiPriority w:val="34"/>
    <w:locked/>
    <w:rsid w:val="00D06B39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14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14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Желонко Елена Александровна</dc:creator>
  <cp:keywords/>
  <dc:description/>
  <cp:lastModifiedBy>Борейко Инна Леонидовна</cp:lastModifiedBy>
  <cp:revision>5</cp:revision>
  <cp:lastPrinted>2023-11-15T12:29:00Z</cp:lastPrinted>
  <dcterms:created xsi:type="dcterms:W3CDTF">2024-02-14T13:54:00Z</dcterms:created>
  <dcterms:modified xsi:type="dcterms:W3CDTF">2024-02-15T09:01:00Z</dcterms:modified>
</cp:coreProperties>
</file>